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5"/>
      </w:tblGrid>
      <w:tr w:rsidR="00581D07" w:rsidRPr="00774E11" w14:paraId="596F9340" w14:textId="77777777" w:rsidTr="00B8026D">
        <w:trPr>
          <w:jc w:val="center"/>
        </w:trPr>
        <w:tc>
          <w:tcPr>
            <w:tcW w:w="9435" w:type="dxa"/>
            <w:tcBorders>
              <w:top w:val="nil"/>
              <w:left w:val="single" w:sz="48" w:space="0" w:color="BFBFBF"/>
              <w:bottom w:val="single" w:sz="48" w:space="0" w:color="BFBFBF"/>
              <w:right w:val="single" w:sz="48" w:space="0" w:color="BFBFB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8"/>
              <w:gridCol w:w="7864"/>
            </w:tblGrid>
            <w:tr w:rsidR="00581D07" w:rsidRPr="00C723D0" w14:paraId="6F7D0BA8" w14:textId="77777777" w:rsidTr="00C723D0">
              <w:trPr>
                <w:trHeight w:val="290"/>
              </w:trPr>
              <w:tc>
                <w:tcPr>
                  <w:tcW w:w="9302" w:type="dxa"/>
                  <w:gridSpan w:val="2"/>
                  <w:tcBorders>
                    <w:top w:val="single" w:sz="18" w:space="0" w:color="7F7F7F"/>
                    <w:left w:val="single" w:sz="18" w:space="0" w:color="7F7F7F"/>
                    <w:bottom w:val="single" w:sz="18" w:space="0" w:color="7F7F7F"/>
                    <w:right w:val="single" w:sz="18" w:space="0" w:color="7F7F7F"/>
                  </w:tcBorders>
                  <w:tcMar>
                    <w:top w:w="60" w:type="dxa"/>
                    <w:left w:w="330" w:type="dxa"/>
                    <w:bottom w:w="60" w:type="dxa"/>
                    <w:right w:w="330" w:type="dxa"/>
                  </w:tcMar>
                  <w:vAlign w:val="center"/>
                  <w:hideMark/>
                </w:tcPr>
                <w:p w14:paraId="6143DD6E" w14:textId="31B746E9" w:rsidR="00581D07" w:rsidRPr="00C723D0" w:rsidRDefault="00C4399B" w:rsidP="00B8026D">
                  <w:pPr>
                    <w:spacing w:after="0" w:line="240" w:lineRule="auto"/>
                    <w:jc w:val="center"/>
                    <w:outlineLvl w:val="2"/>
                    <w:rPr>
                      <w:rFonts w:ascii="Calibri" w:eastAsia="Times New Roman" w:hAnsi="Calibri" w:cs="Times New Roman"/>
                      <w:caps/>
                      <w:color w:val="354D3F"/>
                      <w:sz w:val="28"/>
                      <w:szCs w:val="28"/>
                      <w:lang w:eastAsia="en-GB"/>
                    </w:rPr>
                  </w:pPr>
                  <w:r w:rsidRPr="00C723D0">
                    <w:rPr>
                      <w:rFonts w:ascii="Calibri" w:eastAsia="Times New Roman" w:hAnsi="Calibri" w:cs="Times New Roman"/>
                      <w:caps/>
                      <w:color w:val="354D3F"/>
                      <w:sz w:val="28"/>
                      <w:szCs w:val="28"/>
                      <w:lang w:eastAsia="en-GB"/>
                    </w:rPr>
                    <w:t xml:space="preserve">Special Resolution to update the </w:t>
                  </w:r>
                  <w:r w:rsidR="00E10431" w:rsidRPr="00C723D0">
                    <w:rPr>
                      <w:rFonts w:ascii="Calibri" w:eastAsia="Times New Roman" w:hAnsi="Calibri" w:cs="Times New Roman"/>
                      <w:caps/>
                      <w:color w:val="354D3F"/>
                      <w:sz w:val="28"/>
                      <w:szCs w:val="28"/>
                      <w:lang w:eastAsia="en-GB"/>
                    </w:rPr>
                    <w:t>Articles</w:t>
                  </w:r>
                  <w:r w:rsidRPr="00C723D0">
                    <w:rPr>
                      <w:rFonts w:ascii="Calibri" w:eastAsia="Times New Roman" w:hAnsi="Calibri" w:cs="Times New Roman"/>
                      <w:caps/>
                      <w:color w:val="354D3F"/>
                      <w:sz w:val="28"/>
                      <w:szCs w:val="28"/>
                      <w:lang w:eastAsia="en-GB"/>
                    </w:rPr>
                    <w:t xml:space="preserve"> of associaton</w:t>
                  </w:r>
                </w:p>
                <w:p w14:paraId="05B4430D" w14:textId="70AAB3A6" w:rsidR="00C4399B" w:rsidRPr="00C723D0" w:rsidRDefault="00C4399B" w:rsidP="00B8026D">
                  <w:pPr>
                    <w:spacing w:after="0" w:line="240" w:lineRule="auto"/>
                    <w:jc w:val="center"/>
                    <w:outlineLvl w:val="2"/>
                    <w:rPr>
                      <w:rFonts w:ascii="Calibri" w:eastAsia="Times New Roman" w:hAnsi="Calibri" w:cs="Times New Roman"/>
                      <w:caps/>
                      <w:color w:val="354D3F"/>
                      <w:sz w:val="28"/>
                      <w:szCs w:val="28"/>
                      <w:lang w:eastAsia="en-GB"/>
                    </w:rPr>
                  </w:pPr>
                  <w:r w:rsidRPr="00C723D0">
                    <w:rPr>
                      <w:rFonts w:ascii="Calibri" w:eastAsia="Times New Roman" w:hAnsi="Calibri" w:cs="Times New Roman"/>
                      <w:caps/>
                      <w:color w:val="354D3F"/>
                      <w:sz w:val="28"/>
                      <w:szCs w:val="28"/>
                      <w:lang w:eastAsia="en-GB"/>
                    </w:rPr>
                    <w:t xml:space="preserve">General Meeting 6 November </w:t>
                  </w:r>
                </w:p>
              </w:tc>
            </w:tr>
            <w:tr w:rsidR="00581D07" w:rsidRPr="00774E11" w14:paraId="3B025C9A" w14:textId="77777777" w:rsidTr="001E1755">
              <w:trPr>
                <w:trHeight w:val="2047"/>
              </w:trPr>
              <w:tc>
                <w:tcPr>
                  <w:tcW w:w="1438" w:type="dxa"/>
                  <w:tcBorders>
                    <w:top w:val="single" w:sz="18" w:space="0" w:color="7F7F7F"/>
                    <w:left w:val="single" w:sz="18" w:space="0" w:color="7F7F7F"/>
                    <w:bottom w:val="single" w:sz="18" w:space="0" w:color="7F7F7F"/>
                    <w:right w:val="single" w:sz="18" w:space="0" w:color="7F7F7F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2B35263E" w14:textId="50EAE772" w:rsidR="00581D07" w:rsidRPr="00774E11" w:rsidRDefault="00581D07" w:rsidP="00B8026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i/>
                      <w:iCs/>
                      <w:color w:val="262626"/>
                      <w:sz w:val="20"/>
                      <w:szCs w:val="20"/>
                      <w:lang w:eastAsia="en-GB"/>
                    </w:rPr>
                  </w:pPr>
                  <w:r w:rsidRPr="00774E11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262626"/>
                      <w:sz w:val="24"/>
                      <w:szCs w:val="24"/>
                      <w:lang w:eastAsia="en-GB"/>
                    </w:rPr>
                    <w:t>Overview</w:t>
                  </w:r>
                  <w:r w:rsidRPr="00774E11">
                    <w:rPr>
                      <w:rFonts w:ascii="Calibri" w:eastAsia="Times New Roman" w:hAnsi="Calibri" w:cs="Times New Roman"/>
                      <w:i/>
                      <w:iCs/>
                      <w:color w:val="262626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7864" w:type="dxa"/>
                  <w:tcBorders>
                    <w:top w:val="single" w:sz="18" w:space="0" w:color="7F7F7F"/>
                    <w:left w:val="single" w:sz="18" w:space="0" w:color="7F7F7F"/>
                    <w:bottom w:val="single" w:sz="18" w:space="0" w:color="7F7F7F"/>
                    <w:right w:val="single" w:sz="18" w:space="0" w:color="7F7F7F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14:paraId="7C23FF01" w14:textId="65F9BEDA" w:rsidR="00C4399B" w:rsidRPr="00B34CB0" w:rsidRDefault="00C4399B" w:rsidP="00C4399B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As a result of a Governance Review that was held during the last academic year, some exciting changes are 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being 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brought forward to enhance our democratic structures to enable students to shape the campaigns and projects we work on as a Students' Union.   </w:t>
                  </w:r>
                </w:p>
                <w:p w14:paraId="4FFE837D" w14:textId="14CCE57B" w:rsidR="00BF542F" w:rsidRDefault="00B34CB0" w:rsidP="00C4399B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The Students’ Union </w:t>
                  </w:r>
                  <w:r w:rsidR="00C4399B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Trustee Board approved an </w:t>
                  </w:r>
                  <w:hyperlink r:id="rId8" w:history="1">
                    <w:r w:rsidR="00C4399B" w:rsidRPr="00B34CB0">
                      <w:rPr>
                        <w:rStyle w:val="Hyperlink"/>
                        <w:rFonts w:asciiTheme="minorHAnsi" w:hAnsiTheme="minorHAnsi" w:cstheme="minorHAnsi"/>
                        <w:color w:val="337AB7"/>
                        <w:sz w:val="22"/>
                        <w:szCs w:val="22"/>
                        <w:u w:val="none"/>
                      </w:rPr>
                      <w:t>Interim set of By-Laws</w:t>
                    </w:r>
                  </w:hyperlink>
                  <w:r w:rsidR="00C4399B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 that enable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d</w:t>
                  </w:r>
                  <w:r w:rsidR="00C4399B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the introduction of the</w:t>
                  </w:r>
                  <w:r w:rsidR="00C4399B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new Council and Leicester 100 structure that replaced 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the </w:t>
                  </w:r>
                  <w:r w:rsidR="00C4399B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Student Counci</w:t>
                  </w:r>
                  <w:r w:rsidR="00266B2F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l</w:t>
                  </w:r>
                  <w:r w:rsidR="00F162AB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.  It has also brought in a new process for Officer Scrutiny, replacing the Scrutiny Committee with a process through</w:t>
                  </w:r>
                  <w:r w:rsidR="00881DB5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the</w:t>
                  </w:r>
                  <w:r w:rsidR="00F162AB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Trustee Board that will be an ongoing developmental process </w:t>
                  </w:r>
                  <w:r w:rsidR="00BF542F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focussed on goal setting, delivery, and professional development. </w:t>
                  </w:r>
                </w:p>
                <w:p w14:paraId="0F32396D" w14:textId="6304F381" w:rsidR="00B34CB0" w:rsidRPr="00B34CB0" w:rsidRDefault="00C4399B" w:rsidP="00C4399B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This </w:t>
                  </w:r>
                  <w:r w:rsidR="00E10431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special 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resolution </w:t>
                  </w:r>
                  <w:r w:rsidR="00B34CB0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recommends the 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implement</w:t>
                  </w:r>
                  <w:r w:rsidR="00B34CB0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ation of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the remaining changes</w:t>
                  </w:r>
                  <w:r w:rsidR="00B34CB0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, 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of which some require </w:t>
                  </w:r>
                  <w:r w:rsidR="00B34CB0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changes to the Students’ Union Article of Association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.</w:t>
                  </w:r>
                </w:p>
                <w:p w14:paraId="3AC3549D" w14:textId="5269E8F1" w:rsidR="00B34CB0" w:rsidRPr="00B34CB0" w:rsidRDefault="00B34CB0" w:rsidP="00B34CB0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B34CB0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The </w:t>
                  </w:r>
                  <w:r w:rsidR="009F756A">
                    <w:rPr>
                      <w:rFonts w:cstheme="minorHAnsi"/>
                      <w:color w:val="333333"/>
                      <w:shd w:val="clear" w:color="auto" w:fill="FFFFFF"/>
                    </w:rPr>
                    <w:t>r</w:t>
                  </w:r>
                  <w:r w:rsidRPr="00B34CB0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ecommended </w:t>
                  </w:r>
                  <w:r w:rsidR="009F756A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changes </w:t>
                  </w:r>
                  <w:proofErr w:type="gramStart"/>
                  <w:r w:rsidRPr="00B34CB0">
                    <w:rPr>
                      <w:rFonts w:cstheme="minorHAnsi"/>
                      <w:color w:val="333333"/>
                      <w:shd w:val="clear" w:color="auto" w:fill="FFFFFF"/>
                    </w:rPr>
                    <w:t>are:-</w:t>
                  </w:r>
                  <w:proofErr w:type="gramEnd"/>
                </w:p>
                <w:p w14:paraId="23B6F450" w14:textId="4B49A473" w:rsidR="001B0E1A" w:rsidRDefault="00266B2F" w:rsidP="00BE0385">
                  <w:pPr>
                    <w:pStyle w:val="NormalWeb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Introduction of </w:t>
                  </w:r>
                  <w:r w:rsidR="00E10431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a 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new 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Officer </w:t>
                  </w:r>
                  <w:r w:rsidR="0096297D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Structure with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3 Executive Officers alongside 1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2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paid P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art</w:t>
                  </w:r>
                  <w:r w:rsidR="003609F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-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Time Officers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that will be open to current students</w:t>
                  </w:r>
                  <w:r w:rsidR="0096297D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.</w:t>
                  </w:r>
                </w:p>
                <w:p w14:paraId="0FDE7775" w14:textId="25984859" w:rsidR="001261D4" w:rsidRPr="001261D4" w:rsidRDefault="001261D4" w:rsidP="00BE0385">
                  <w:pPr>
                    <w:pStyle w:val="NormalWeb"/>
                    <w:numPr>
                      <w:ilvl w:val="1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To replace the current set of role descriptions of the Executive Officers and Part-Time Officers</w:t>
                  </w:r>
                  <w:r w:rsid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,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</w:t>
                  </w:r>
                  <w:r w:rsid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within the By-Laws, 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with the new role descriptions to reflect the new structure</w:t>
                  </w:r>
                  <w:r w:rsidR="00A01A5C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(Appendix B – New Role Description)</w:t>
                  </w:r>
                </w:p>
                <w:p w14:paraId="32111DE7" w14:textId="0A79A37B" w:rsidR="001B0E1A" w:rsidRDefault="001B0E1A" w:rsidP="00BE0385">
                  <w:pPr>
                    <w:pStyle w:val="NormalWeb"/>
                    <w:numPr>
                      <w:ilvl w:val="1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To ensure that students 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make up the 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majority 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of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the Trustee Board add two</w:t>
                  </w:r>
                  <w:r w:rsidR="00E10431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additional </w:t>
                  </w: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Student Trustees. This will mean that the Trustee Board will have up to 5 External Trustees, 3 Officer Trustees (provision for up to 4) and 3 Student Trustees.</w:t>
                  </w:r>
                </w:p>
                <w:p w14:paraId="09C44063" w14:textId="36866B8E" w:rsidR="00B93EA7" w:rsidRDefault="00B93EA7" w:rsidP="00BE0385">
                  <w:pPr>
                    <w:pStyle w:val="NormalWeb"/>
                    <w:numPr>
                      <w:ilvl w:val="1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Appointment process for Student Trustees is clarified and the opportunity for them to have more than one term is introduced. </w:t>
                  </w:r>
                </w:p>
                <w:p w14:paraId="5DD8F808" w14:textId="10D3303B" w:rsidR="00E1172D" w:rsidRPr="00B34CB0" w:rsidRDefault="00E1172D" w:rsidP="00BE0385">
                  <w:pPr>
                    <w:pStyle w:val="NormalWeb"/>
                    <w:numPr>
                      <w:ilvl w:val="1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Relevant updates to Terms of Reference of Committees and role titles within the By-Laws.</w:t>
                  </w:r>
                </w:p>
                <w:p w14:paraId="62F3FB7D" w14:textId="3B7C9C56" w:rsidR="001B0E1A" w:rsidRPr="00B34CB0" w:rsidRDefault="00B34CB0" w:rsidP="00BE0385">
                  <w:pPr>
                    <w:pStyle w:val="NormalWeb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Introduction of a 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Policy Sub-Committee to work within our </w:t>
                  </w:r>
                  <w:r w:rsidR="00E10431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d</w:t>
                  </w:r>
                  <w:r w:rsidR="0096297D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emocrat</w:t>
                  </w:r>
                  <w:r w:rsidR="00E10431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ic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</w:t>
                  </w:r>
                  <w:r w:rsidR="00E10431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s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tructures to provide oversight of policy development/implementation from a legal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, financial and </w:t>
                  </w:r>
                  <w:r w:rsidR="001B0E1A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reputational viewpoint. It would also oversee referendums and elections including relevant regulations and timetables. </w:t>
                  </w:r>
                  <w:r w:rsidR="0096297D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</w:t>
                  </w:r>
                  <w:r w:rsid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The terms of reference for the Policy Sub-Committee to be added to the By-Laws (Appendix C)</w:t>
                  </w:r>
                  <w:r w:rsidR="00E1172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and relevant name changes are made in the By-Laws</w:t>
                  </w:r>
                </w:p>
                <w:p w14:paraId="08ECD8AC" w14:textId="756E5C35" w:rsidR="00B93EA7" w:rsidRDefault="00B93EA7" w:rsidP="00BE0385">
                  <w:pPr>
                    <w:pStyle w:val="NormalWeb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Removal of </w:t>
                  </w:r>
                  <w:r w:rsidR="00C723D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the</w:t>
                  </w:r>
                  <w:r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Annual Members Meeting – this will be replaced with annual reporting utilising social media Q&amp;A’s, Leicester 100 and Impact Reports.</w:t>
                  </w:r>
                </w:p>
                <w:p w14:paraId="33B22731" w14:textId="00F191B0" w:rsidR="001B0E1A" w:rsidRPr="00B34CB0" w:rsidRDefault="001B0E1A" w:rsidP="00BE0385">
                  <w:pPr>
                    <w:pStyle w:val="NormalWeb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To amend the Referendum section in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enable </w:t>
                  </w:r>
                  <w:r w:rsidR="0096297D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the Leicester 100 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to</w:t>
                  </w:r>
                  <w:r w:rsidR="0096297D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recommend</w:t>
                  </w:r>
                  <w:r w:rsidR="0096297D" w:rsidRPr="00B34CB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the calling of a referendum.</w:t>
                  </w:r>
                </w:p>
                <w:p w14:paraId="425D28E1" w14:textId="4641ED25" w:rsidR="0096297D" w:rsidRPr="0074704D" w:rsidRDefault="0096297D" w:rsidP="00BE0385">
                  <w:pPr>
                    <w:pStyle w:val="NormalWeb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lastRenderedPageBreak/>
                    <w:t>To remove references to Student Council from the Articles of Association</w:t>
                  </w:r>
                  <w:r w:rsidR="00E10431"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, replacing them as appropriate with the Leicester 100.</w:t>
                  </w:r>
                </w:p>
                <w:p w14:paraId="18733F87" w14:textId="77777777" w:rsidR="009F756A" w:rsidRDefault="001261D4" w:rsidP="00287C52">
                  <w:pPr>
                    <w:pStyle w:val="NormalWeb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Making </w:t>
                  </w:r>
                  <w:r w:rsidR="009F756A" w:rsidRP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the process for future amendments to the articles clearer.</w:t>
                  </w:r>
                </w:p>
                <w:p w14:paraId="3D5F0AED" w14:textId="4A7DC247" w:rsidR="001261D4" w:rsidRPr="009F756A" w:rsidRDefault="00E10431" w:rsidP="00287C52">
                  <w:pPr>
                    <w:pStyle w:val="NormalWeb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Renaming Students’ Council Chair to Students’ Union Chair and bringing Articles </w:t>
                  </w:r>
                  <w:r w:rsidR="00E1172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and By-Laws </w:t>
                  </w:r>
                  <w:r w:rsidRP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in line with current practice with the role been recruited rather than elected.</w:t>
                  </w:r>
                </w:p>
                <w:p w14:paraId="15ED09D9" w14:textId="5D162AC0" w:rsidR="001261D4" w:rsidRPr="0074704D" w:rsidRDefault="0096297D" w:rsidP="00BE0385">
                  <w:pPr>
                    <w:pStyle w:val="NormalWeb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Upon the recommendation from the Governance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Review</w:t>
                  </w: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add </w:t>
                  </w:r>
                  <w:r w:rsidR="00881DB5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four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new</w:t>
                  </w:r>
                  <w:r w:rsidR="00625271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(and amend one)</w:t>
                  </w: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powers</w:t>
                  </w:r>
                  <w:r w:rsidR="00625271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that can be utilised to further the Union’s object</w:t>
                  </w:r>
                  <w:r w:rsidR="009F756A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ives and charitable purpose.</w:t>
                  </w:r>
                  <w:r w:rsidR="00625271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T</w:t>
                  </w: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hese </w:t>
                  </w:r>
                  <w:proofErr w:type="gramStart"/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are:-</w:t>
                  </w:r>
                  <w:proofErr w:type="gramEnd"/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</w:t>
                  </w:r>
                </w:p>
                <w:p w14:paraId="131BDD71" w14:textId="0D413AB6" w:rsidR="00625271" w:rsidRDefault="00625271" w:rsidP="00BE0385">
                  <w:pPr>
                    <w:pStyle w:val="NormalWeb"/>
                    <w:numPr>
                      <w:ilvl w:val="1"/>
                      <w:numId w:val="4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Undertake and execute charitable trusts</w:t>
                  </w:r>
                </w:p>
                <w:p w14:paraId="3A1F9D49" w14:textId="60B3FFE9" w:rsidR="001261D4" w:rsidRPr="0074704D" w:rsidRDefault="001261D4" w:rsidP="00BE0385">
                  <w:pPr>
                    <w:pStyle w:val="NormalWeb"/>
                    <w:numPr>
                      <w:ilvl w:val="1"/>
                      <w:numId w:val="4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provide or procure the provision of advice, counselling and guidance</w:t>
                  </w:r>
                  <w:r w:rsidR="006252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(Amend</w:t>
                  </w:r>
                  <w:r w:rsidR="00881D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ment of</w:t>
                  </w:r>
                  <w:r w:rsidR="006252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current power)</w:t>
                  </w:r>
                  <w:r w:rsidRPr="0074704D">
                    <w:rPr>
                      <w:rFonts w:asciiTheme="minorHAnsi" w:hAnsiTheme="minorHAnsi" w:cstheme="minorHAnsi"/>
                      <w:sz w:val="22"/>
                      <w:szCs w:val="22"/>
                    </w:rPr>
                    <w:t>;</w:t>
                  </w:r>
                </w:p>
                <w:p w14:paraId="5E377F55" w14:textId="77777777" w:rsidR="001261D4" w:rsidRPr="0074704D" w:rsidRDefault="001261D4" w:rsidP="00BE0385">
                  <w:pPr>
                    <w:pStyle w:val="NormalWeb"/>
                    <w:numPr>
                      <w:ilvl w:val="1"/>
                      <w:numId w:val="4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enter into contracts to provide services to or on behalf of other bodies; </w:t>
                  </w:r>
                </w:p>
                <w:p w14:paraId="3CA37740" w14:textId="77777777" w:rsidR="00625271" w:rsidRDefault="001261D4" w:rsidP="00BE0385">
                  <w:pPr>
                    <w:pStyle w:val="NormalWeb"/>
                    <w:numPr>
                      <w:ilvl w:val="1"/>
                      <w:numId w:val="4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undertake and execute charitable trusts; accept (or disclaim) gifts of money and any other property;</w:t>
                  </w:r>
                </w:p>
                <w:p w14:paraId="241C10F6" w14:textId="5910E9AB" w:rsidR="0096297D" w:rsidRPr="0074704D" w:rsidRDefault="00625271" w:rsidP="00BE0385">
                  <w:pPr>
                    <w:pStyle w:val="NormalWeb"/>
                    <w:numPr>
                      <w:ilvl w:val="1"/>
                      <w:numId w:val="4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raise funds by way of subscription, donation or otherwise.</w:t>
                  </w:r>
                  <w:r w:rsidR="001261D4" w:rsidRPr="0074704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5C696D7B" w14:textId="6587C162" w:rsidR="0096297D" w:rsidRPr="0074704D" w:rsidRDefault="00E10431" w:rsidP="0096297D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2"/>
                      <w:szCs w:val="22"/>
                    </w:rPr>
                    <w:t>Appendices</w:t>
                  </w:r>
                </w:p>
                <w:p w14:paraId="2412A971" w14:textId="2F7F5799" w:rsidR="00E10431" w:rsidRPr="0074704D" w:rsidRDefault="00E10431" w:rsidP="00BE0385">
                  <w:pPr>
                    <w:pStyle w:val="Normal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Appendix A </w:t>
                  </w:r>
                  <w:r w:rsidR="0074704D"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– provides details of each of the changes proposed to the Articles</w:t>
                  </w:r>
                </w:p>
                <w:p w14:paraId="33191815" w14:textId="06A2A493" w:rsidR="0074704D" w:rsidRPr="0074704D" w:rsidRDefault="0074704D" w:rsidP="00BE0385">
                  <w:pPr>
                    <w:pStyle w:val="Normal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Appendix B gives the new Officer Role Descriptions that will be inco</w:t>
                  </w:r>
                  <w:r w:rsidR="00C723D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r</w:t>
                  </w: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p</w:t>
                  </w:r>
                  <w:r w:rsidR="00C723D0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o</w:t>
                  </w: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rated into the new By-Laws.</w:t>
                  </w:r>
                </w:p>
                <w:p w14:paraId="40E3FAB9" w14:textId="4D43796D" w:rsidR="0074704D" w:rsidRPr="0074704D" w:rsidRDefault="0074704D" w:rsidP="00BE0385">
                  <w:pPr>
                    <w:pStyle w:val="Normal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Appendix C provides the terms of reference for the Policy Sub-Committee</w:t>
                  </w:r>
                  <w:r w:rsidR="00BF542F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 xml:space="preserve"> that will be incorporated into the new By-Laws</w:t>
                  </w:r>
                </w:p>
                <w:p w14:paraId="5292D629" w14:textId="1A87FE54" w:rsidR="0096297D" w:rsidRPr="0074704D" w:rsidRDefault="0074704D" w:rsidP="00BE0385">
                  <w:pPr>
                    <w:pStyle w:val="Normal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Appendix D provides the full new proposed set of Arti</w:t>
                  </w:r>
                  <w:r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c</w:t>
                  </w: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les of Association</w:t>
                  </w:r>
                </w:p>
                <w:p w14:paraId="43DB1AA5" w14:textId="0FC2D4B9" w:rsidR="001E1755" w:rsidRPr="00625271" w:rsidRDefault="0074704D" w:rsidP="00BE0385">
                  <w:pPr>
                    <w:pStyle w:val="Normal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150" w:afterAutospacing="0"/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</w:pPr>
                  <w:r w:rsidRPr="0074704D">
                    <w:rPr>
                      <w:rFonts w:asciiTheme="minorHAnsi" w:hAnsiTheme="minorHAnsi" w:cstheme="minorHAnsi"/>
                      <w:color w:val="333333"/>
                      <w:sz w:val="22"/>
                      <w:szCs w:val="22"/>
                    </w:rPr>
                    <w:t>Appendix E provides the full new proposed set of By-Laws</w:t>
                  </w:r>
                </w:p>
                <w:p w14:paraId="3108D5E4" w14:textId="65930116" w:rsidR="001E1755" w:rsidRPr="00B34CB0" w:rsidRDefault="001E1755" w:rsidP="006A0D6D">
                  <w:pPr>
                    <w:rPr>
                      <w:rFonts w:cstheme="minorHAnsi"/>
                    </w:rPr>
                  </w:pPr>
                </w:p>
              </w:tc>
            </w:tr>
            <w:tr w:rsidR="00581D07" w:rsidRPr="00774E11" w14:paraId="350B50A8" w14:textId="77777777" w:rsidTr="001E1755">
              <w:trPr>
                <w:trHeight w:val="2492"/>
              </w:trPr>
              <w:tc>
                <w:tcPr>
                  <w:tcW w:w="1438" w:type="dxa"/>
                  <w:tcBorders>
                    <w:top w:val="single" w:sz="18" w:space="0" w:color="7F7F7F"/>
                    <w:left w:val="single" w:sz="18" w:space="0" w:color="7F7F7F"/>
                    <w:bottom w:val="single" w:sz="18" w:space="0" w:color="7F7F7F"/>
                    <w:right w:val="single" w:sz="18" w:space="0" w:color="7F7F7F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64A75270" w14:textId="77777777" w:rsidR="00581D07" w:rsidRDefault="00581D07" w:rsidP="00B8026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262626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262626"/>
                      <w:sz w:val="24"/>
                      <w:szCs w:val="24"/>
                      <w:lang w:eastAsia="en-GB"/>
                    </w:rPr>
                    <w:lastRenderedPageBreak/>
                    <w:t>Facts</w:t>
                  </w:r>
                </w:p>
                <w:p w14:paraId="0212925F" w14:textId="5EBDE50B" w:rsidR="00581D07" w:rsidRPr="00774E11" w:rsidRDefault="00581D07" w:rsidP="00B8026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i/>
                      <w:iCs/>
                      <w:color w:val="262626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864" w:type="dxa"/>
                  <w:tcBorders>
                    <w:top w:val="single" w:sz="18" w:space="0" w:color="7F7F7F"/>
                    <w:left w:val="single" w:sz="18" w:space="0" w:color="7F7F7F"/>
                    <w:bottom w:val="single" w:sz="18" w:space="0" w:color="7F7F7F"/>
                    <w:right w:val="single" w:sz="18" w:space="0" w:color="7F7F7F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14:paraId="3F3AD826" w14:textId="26354AC5" w:rsidR="00266B2F" w:rsidRPr="0074704D" w:rsidRDefault="00266B2F" w:rsidP="00BE038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>The Arti</w:t>
                  </w:r>
                  <w:r w:rsidR="0074704D"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>c</w:t>
                  </w:r>
                  <w:r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les of Association govern </w:t>
                  </w:r>
                  <w:r w:rsidR="00C4399B"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>how the Students' Union</w:t>
                  </w:r>
                  <w:r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 is set up, its purposes and </w:t>
                  </w:r>
                  <w:r w:rsidR="00C723D0">
                    <w:rPr>
                      <w:rFonts w:cstheme="minorHAnsi"/>
                      <w:color w:val="333333"/>
                      <w:shd w:val="clear" w:color="auto" w:fill="FFFFFF"/>
                    </w:rPr>
                    <w:t>its </w:t>
                  </w:r>
                  <w:r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>powers.</w:t>
                  </w:r>
                </w:p>
                <w:p w14:paraId="757DC67C" w14:textId="77777777" w:rsidR="00BF542F" w:rsidRDefault="00266B2F" w:rsidP="00BF542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The By-Laws outline how the structures operate including Officer role descriptions, committees' terms of reference, </w:t>
                  </w:r>
                  <w:r w:rsidR="0074704D"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>and </w:t>
                  </w:r>
                  <w:r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>how elections, Councils</w:t>
                  </w:r>
                  <w:r w:rsidR="0074704D"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>,</w:t>
                  </w:r>
                  <w:r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 and Leicester 100</w:t>
                  </w:r>
                  <w:r w:rsidR="00C4399B" w:rsidRPr="0074704D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 run.</w:t>
                  </w:r>
                </w:p>
                <w:p w14:paraId="47DDFB12" w14:textId="617F8E2A" w:rsidR="00BF542F" w:rsidRPr="00BF542F" w:rsidRDefault="00BF542F" w:rsidP="00BF542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BF542F">
                    <w:rPr>
                      <w:rFonts w:cstheme="minorHAnsi"/>
                      <w:color w:val="333333"/>
                    </w:rPr>
                    <w:t xml:space="preserve">Changes to the Articles of Association require </w:t>
                  </w:r>
                  <w:r w:rsidRPr="00BF542F">
                    <w:rPr>
                      <w:rFonts w:cstheme="minorHAnsi"/>
                      <w:color w:val="333333"/>
                      <w:shd w:val="clear" w:color="auto" w:fill="FFFFFF"/>
                    </w:rPr>
                    <w:t>a 75% majority vote for the resolution from a quorate General Meeting, approval by the Trustee Board and the University of Leicester Council Meeting.</w:t>
                  </w:r>
                </w:p>
                <w:p w14:paraId="1D85E768" w14:textId="7007AB58" w:rsidR="00C4399B" w:rsidRPr="00B363BD" w:rsidRDefault="00C4399B" w:rsidP="004D42F5"/>
              </w:tc>
            </w:tr>
            <w:tr w:rsidR="00581D07" w:rsidRPr="00774E11" w14:paraId="7F1E56B7" w14:textId="77777777" w:rsidTr="001E1755">
              <w:trPr>
                <w:trHeight w:val="532"/>
              </w:trPr>
              <w:tc>
                <w:tcPr>
                  <w:tcW w:w="1438" w:type="dxa"/>
                  <w:tcBorders>
                    <w:top w:val="single" w:sz="18" w:space="0" w:color="7F7F7F"/>
                    <w:left w:val="single" w:sz="18" w:space="0" w:color="7F7F7F"/>
                    <w:bottom w:val="single" w:sz="18" w:space="0" w:color="7F7F7F"/>
                    <w:right w:val="single" w:sz="18" w:space="0" w:color="7F7F7F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14:paraId="1C3F2202" w14:textId="10B90A15" w:rsidR="00581D07" w:rsidRDefault="00581D07" w:rsidP="00B8026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i/>
                      <w:iCs/>
                      <w:color w:val="262626"/>
                      <w:sz w:val="20"/>
                      <w:szCs w:val="20"/>
                      <w:lang w:eastAsia="en-GB"/>
                    </w:rPr>
                  </w:pPr>
                  <w:r w:rsidRPr="00774E11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262626"/>
                      <w:sz w:val="24"/>
                      <w:szCs w:val="24"/>
                      <w:lang w:eastAsia="en-GB"/>
                    </w:rPr>
                    <w:t>Actions/</w:t>
                  </w:r>
                  <w:r w:rsidR="008D6FB3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262626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774E11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262626"/>
                      <w:sz w:val="24"/>
                      <w:szCs w:val="24"/>
                      <w:lang w:eastAsia="en-GB"/>
                    </w:rPr>
                    <w:t xml:space="preserve">Outcomes </w:t>
                  </w:r>
                </w:p>
                <w:p w14:paraId="3D085961" w14:textId="09680222" w:rsidR="00581D07" w:rsidRPr="00774E11" w:rsidRDefault="00581D07" w:rsidP="00B8026D">
                  <w:pPr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i/>
                      <w:iCs/>
                      <w:color w:val="262626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864" w:type="dxa"/>
                  <w:tcBorders>
                    <w:top w:val="single" w:sz="18" w:space="0" w:color="7F7F7F"/>
                    <w:left w:val="single" w:sz="18" w:space="0" w:color="7F7F7F"/>
                    <w:bottom w:val="single" w:sz="18" w:space="0" w:color="7F7F7F"/>
                    <w:right w:val="single" w:sz="18" w:space="0" w:color="7F7F7F"/>
                  </w:tcBorders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14:paraId="2085D1DA" w14:textId="2D667F30" w:rsidR="0074704D" w:rsidRPr="0074704D" w:rsidRDefault="00C4399B" w:rsidP="00BE03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 w:themeColor="text1"/>
                    </w:rPr>
                  </w:pPr>
                  <w:r w:rsidRPr="0074704D">
                    <w:rPr>
                      <w:color w:val="000000" w:themeColor="text1"/>
                    </w:rPr>
                    <w:t xml:space="preserve">To </w:t>
                  </w:r>
                  <w:r w:rsidR="0074704D" w:rsidRPr="0074704D">
                    <w:rPr>
                      <w:color w:val="000000" w:themeColor="text1"/>
                    </w:rPr>
                    <w:t xml:space="preserve">approve the </w:t>
                  </w:r>
                  <w:r w:rsidRPr="0074704D">
                    <w:rPr>
                      <w:color w:val="000000" w:themeColor="text1"/>
                    </w:rPr>
                    <w:t>amend</w:t>
                  </w:r>
                  <w:r w:rsidR="0074704D" w:rsidRPr="0074704D">
                    <w:rPr>
                      <w:color w:val="000000" w:themeColor="text1"/>
                    </w:rPr>
                    <w:t>ed</w:t>
                  </w:r>
                  <w:r w:rsidRPr="0074704D">
                    <w:rPr>
                      <w:color w:val="000000" w:themeColor="text1"/>
                    </w:rPr>
                    <w:t xml:space="preserve"> Articles of Association</w:t>
                  </w:r>
                  <w:r w:rsidR="00C723D0">
                    <w:rPr>
                      <w:color w:val="000000" w:themeColor="text1"/>
                    </w:rPr>
                    <w:t xml:space="preserve"> (Appendix D) to come into operation on 1 July 202</w:t>
                  </w:r>
                  <w:r w:rsidR="009F756A">
                    <w:rPr>
                      <w:color w:val="000000" w:themeColor="text1"/>
                    </w:rPr>
                    <w:t>5</w:t>
                  </w:r>
                  <w:r w:rsidR="00C723D0">
                    <w:rPr>
                      <w:color w:val="000000" w:themeColor="text1"/>
                    </w:rPr>
                    <w:t xml:space="preserve">. </w:t>
                  </w:r>
                  <w:r w:rsidR="0074704D" w:rsidRPr="0074704D">
                    <w:rPr>
                      <w:color w:val="000000" w:themeColor="text1"/>
                    </w:rPr>
                    <w:t xml:space="preserve"> </w:t>
                  </w:r>
                </w:p>
                <w:p w14:paraId="232B87B6" w14:textId="7B6100EE" w:rsidR="00C723D0" w:rsidRDefault="0074704D" w:rsidP="00BE03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 w:themeColor="text1"/>
                    </w:rPr>
                  </w:pPr>
                  <w:r w:rsidRPr="0074704D">
                    <w:rPr>
                      <w:color w:val="000000" w:themeColor="text1"/>
                    </w:rPr>
                    <w:t>To approve the amended By-Laws</w:t>
                  </w:r>
                  <w:r w:rsidR="00C723D0">
                    <w:rPr>
                      <w:color w:val="000000" w:themeColor="text1"/>
                    </w:rPr>
                    <w:t xml:space="preserve"> (Appendix E) to come into operation on 1 July 202</w:t>
                  </w:r>
                  <w:r w:rsidR="009F756A">
                    <w:rPr>
                      <w:color w:val="000000" w:themeColor="text1"/>
                    </w:rPr>
                    <w:t>5</w:t>
                  </w:r>
                  <w:r w:rsidR="00C723D0">
                    <w:rPr>
                      <w:color w:val="000000" w:themeColor="text1"/>
                    </w:rPr>
                    <w:t xml:space="preserve">. </w:t>
                  </w:r>
                </w:p>
                <w:p w14:paraId="7D0E2017" w14:textId="595747D9" w:rsidR="00C4399B" w:rsidRPr="00C723D0" w:rsidRDefault="0096297D" w:rsidP="00BE03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 w:themeColor="text1"/>
                    </w:rPr>
                  </w:pPr>
                  <w:r w:rsidRPr="0074704D">
                    <w:rPr>
                      <w:color w:val="000000" w:themeColor="text1"/>
                    </w:rPr>
                    <w:lastRenderedPageBreak/>
                    <w:t>Officers and Student Trustees will be elected</w:t>
                  </w:r>
                  <w:r w:rsidR="009F756A">
                    <w:rPr>
                      <w:color w:val="000000" w:themeColor="text1"/>
                    </w:rPr>
                    <w:t xml:space="preserve"> or recruited </w:t>
                  </w:r>
                  <w:r w:rsidRPr="0074704D">
                    <w:rPr>
                      <w:color w:val="000000" w:themeColor="text1"/>
                    </w:rPr>
                    <w:t>in accordance with the new structure</w:t>
                  </w:r>
                  <w:r w:rsidR="00C723D0">
                    <w:rPr>
                      <w:color w:val="000000" w:themeColor="text1"/>
                    </w:rPr>
                    <w:t xml:space="preserve"> so that they are</w:t>
                  </w:r>
                  <w:r w:rsidRPr="0074704D">
                    <w:rPr>
                      <w:color w:val="000000" w:themeColor="text1"/>
                    </w:rPr>
                    <w:t xml:space="preserve"> ready to take up </w:t>
                  </w:r>
                  <w:r w:rsidR="00C723D0">
                    <w:rPr>
                      <w:color w:val="000000" w:themeColor="text1"/>
                    </w:rPr>
                    <w:t xml:space="preserve">their </w:t>
                  </w:r>
                  <w:r w:rsidRPr="0074704D">
                    <w:rPr>
                      <w:color w:val="000000" w:themeColor="text1"/>
                    </w:rPr>
                    <w:t xml:space="preserve">post </w:t>
                  </w:r>
                  <w:r w:rsidR="00C723D0">
                    <w:rPr>
                      <w:color w:val="000000" w:themeColor="text1"/>
                    </w:rPr>
                    <w:t xml:space="preserve">within the new structure </w:t>
                  </w:r>
                  <w:r w:rsidRPr="0074704D">
                    <w:rPr>
                      <w:color w:val="000000" w:themeColor="text1"/>
                    </w:rPr>
                    <w:t>on 1</w:t>
                  </w:r>
                  <w:r w:rsidR="00C723D0">
                    <w:rPr>
                      <w:color w:val="000000" w:themeColor="text1"/>
                      <w:vertAlign w:val="superscript"/>
                    </w:rPr>
                    <w:t xml:space="preserve"> </w:t>
                  </w:r>
                  <w:r w:rsidRPr="0074704D">
                    <w:rPr>
                      <w:color w:val="000000" w:themeColor="text1"/>
                    </w:rPr>
                    <w:t>July 202</w:t>
                  </w:r>
                  <w:r w:rsidR="009F756A">
                    <w:rPr>
                      <w:color w:val="000000" w:themeColor="text1"/>
                    </w:rPr>
                    <w:t>5.</w:t>
                  </w:r>
                </w:p>
                <w:p w14:paraId="271581B9" w14:textId="43A24B91" w:rsidR="00334B9F" w:rsidRPr="00334B9F" w:rsidRDefault="00334B9F" w:rsidP="006E3231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F1B9BE" w14:textId="77777777" w:rsidR="00581D07" w:rsidRPr="00774E11" w:rsidRDefault="00581D07" w:rsidP="00B802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1C2DAA6" w14:textId="6A07E9AC" w:rsidR="00B93EA7" w:rsidRDefault="00B93EA7">
      <w:pPr>
        <w:rPr>
          <w:b/>
          <w:bCs/>
          <w:u w:val="single"/>
        </w:rPr>
      </w:pPr>
    </w:p>
    <w:sectPr w:rsidR="00B93EA7" w:rsidSect="008D6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8CF"/>
    <w:multiLevelType w:val="hybridMultilevel"/>
    <w:tmpl w:val="90AEE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5011"/>
    <w:multiLevelType w:val="hybridMultilevel"/>
    <w:tmpl w:val="C0ECA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1C40"/>
    <w:multiLevelType w:val="hybridMultilevel"/>
    <w:tmpl w:val="D2E4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0706"/>
    <w:multiLevelType w:val="hybridMultilevel"/>
    <w:tmpl w:val="48CE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30BC"/>
    <w:multiLevelType w:val="multilevel"/>
    <w:tmpl w:val="93DE1E92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vanish w:val="0"/>
      </w:rPr>
    </w:lvl>
    <w:lvl w:ilvl="1">
      <w:start w:val="18"/>
      <w:numFmt w:val="decimal"/>
      <w:pStyle w:val="BWB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BWBLevel4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BWBLevel5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5" w15:restartNumberingAfterBreak="0">
    <w:nsid w:val="46DE6D20"/>
    <w:multiLevelType w:val="hybridMultilevel"/>
    <w:tmpl w:val="6D7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07"/>
    <w:rsid w:val="00037053"/>
    <w:rsid w:val="000A7B53"/>
    <w:rsid w:val="000C1973"/>
    <w:rsid w:val="000E74D8"/>
    <w:rsid w:val="0010028E"/>
    <w:rsid w:val="001077CC"/>
    <w:rsid w:val="001261D4"/>
    <w:rsid w:val="00187EA6"/>
    <w:rsid w:val="001B0E1A"/>
    <w:rsid w:val="001E1755"/>
    <w:rsid w:val="00210665"/>
    <w:rsid w:val="002427B5"/>
    <w:rsid w:val="002458D4"/>
    <w:rsid w:val="00266B2F"/>
    <w:rsid w:val="00292FE7"/>
    <w:rsid w:val="002C02C0"/>
    <w:rsid w:val="002C5900"/>
    <w:rsid w:val="002D759E"/>
    <w:rsid w:val="002E23EC"/>
    <w:rsid w:val="00306534"/>
    <w:rsid w:val="00334B9F"/>
    <w:rsid w:val="003609FA"/>
    <w:rsid w:val="003651FA"/>
    <w:rsid w:val="003661A8"/>
    <w:rsid w:val="003B148D"/>
    <w:rsid w:val="00415197"/>
    <w:rsid w:val="00446145"/>
    <w:rsid w:val="004951EB"/>
    <w:rsid w:val="004C421D"/>
    <w:rsid w:val="004D42F5"/>
    <w:rsid w:val="0052375F"/>
    <w:rsid w:val="005752F4"/>
    <w:rsid w:val="00581D07"/>
    <w:rsid w:val="0059719A"/>
    <w:rsid w:val="005D277B"/>
    <w:rsid w:val="005F3C66"/>
    <w:rsid w:val="00625271"/>
    <w:rsid w:val="00625459"/>
    <w:rsid w:val="006A0D6D"/>
    <w:rsid w:val="006B3A4A"/>
    <w:rsid w:val="006C5D72"/>
    <w:rsid w:val="006E3231"/>
    <w:rsid w:val="007122BB"/>
    <w:rsid w:val="007159CD"/>
    <w:rsid w:val="00741EF0"/>
    <w:rsid w:val="0074704D"/>
    <w:rsid w:val="0078382C"/>
    <w:rsid w:val="007A08B3"/>
    <w:rsid w:val="007F1F25"/>
    <w:rsid w:val="00812F85"/>
    <w:rsid w:val="00881DB5"/>
    <w:rsid w:val="008D6FB3"/>
    <w:rsid w:val="008E4F8A"/>
    <w:rsid w:val="008E6B06"/>
    <w:rsid w:val="0090293F"/>
    <w:rsid w:val="009523E4"/>
    <w:rsid w:val="0096297D"/>
    <w:rsid w:val="009A6A6E"/>
    <w:rsid w:val="009B1F28"/>
    <w:rsid w:val="009F756A"/>
    <w:rsid w:val="00A01A5C"/>
    <w:rsid w:val="00A16F7D"/>
    <w:rsid w:val="00A22105"/>
    <w:rsid w:val="00A93196"/>
    <w:rsid w:val="00AD4493"/>
    <w:rsid w:val="00AF442B"/>
    <w:rsid w:val="00B018C6"/>
    <w:rsid w:val="00B33F69"/>
    <w:rsid w:val="00B3485F"/>
    <w:rsid w:val="00B34CB0"/>
    <w:rsid w:val="00B7158C"/>
    <w:rsid w:val="00B93EA7"/>
    <w:rsid w:val="00B960C7"/>
    <w:rsid w:val="00BD3D73"/>
    <w:rsid w:val="00BE0385"/>
    <w:rsid w:val="00BF542F"/>
    <w:rsid w:val="00C4399B"/>
    <w:rsid w:val="00C723D0"/>
    <w:rsid w:val="00CB3027"/>
    <w:rsid w:val="00D30D6D"/>
    <w:rsid w:val="00D44106"/>
    <w:rsid w:val="00D842AB"/>
    <w:rsid w:val="00E10431"/>
    <w:rsid w:val="00E1172D"/>
    <w:rsid w:val="00E57FFB"/>
    <w:rsid w:val="00F162AB"/>
    <w:rsid w:val="00F3198C"/>
    <w:rsid w:val="00F75C27"/>
    <w:rsid w:val="00F96100"/>
    <w:rsid w:val="00F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C0537"/>
  <w15:chartTrackingRefBased/>
  <w15:docId w15:val="{21225A1F-6E4C-41D1-95A3-22E89248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07"/>
    <w:pPr>
      <w:ind w:left="720"/>
      <w:contextualSpacing/>
    </w:pPr>
  </w:style>
  <w:style w:type="character" w:customStyle="1" w:styleId="ilfuvd">
    <w:name w:val="ilfuvd"/>
    <w:basedOn w:val="DefaultParagraphFont"/>
    <w:rsid w:val="00581D07"/>
  </w:style>
  <w:style w:type="character" w:styleId="Hyperlink">
    <w:name w:val="Hyperlink"/>
    <w:basedOn w:val="DefaultParagraphFont"/>
    <w:uiPriority w:val="99"/>
    <w:unhideWhenUsed/>
    <w:rsid w:val="00AD449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0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77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WBLevel1">
    <w:name w:val="BWBLevel1"/>
    <w:basedOn w:val="Normal"/>
    <w:link w:val="BWBLevel1Char"/>
    <w:rsid w:val="001261D4"/>
    <w:pPr>
      <w:numPr>
        <w:numId w:val="5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WBLevel2">
    <w:name w:val="BWBLevel2"/>
    <w:basedOn w:val="Normal"/>
    <w:link w:val="BWBLevel2Char"/>
    <w:rsid w:val="001261D4"/>
    <w:pPr>
      <w:numPr>
        <w:ilvl w:val="1"/>
        <w:numId w:val="5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WBLevel2Char">
    <w:name w:val="BWBLevel2 Char"/>
    <w:basedOn w:val="DefaultParagraphFont"/>
    <w:link w:val="BWBLevel2"/>
    <w:rsid w:val="001261D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WBLevel3">
    <w:name w:val="BWBLevel3"/>
    <w:basedOn w:val="Normal"/>
    <w:link w:val="BWBLevel3Char"/>
    <w:rsid w:val="001261D4"/>
    <w:pPr>
      <w:numPr>
        <w:ilvl w:val="2"/>
        <w:numId w:val="5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WBLevel4">
    <w:name w:val="BWBLevel4"/>
    <w:basedOn w:val="Normal"/>
    <w:rsid w:val="001261D4"/>
    <w:pPr>
      <w:numPr>
        <w:ilvl w:val="5"/>
        <w:numId w:val="5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WBLevel5">
    <w:name w:val="BWBLevel5"/>
    <w:basedOn w:val="Normal"/>
    <w:rsid w:val="001261D4"/>
    <w:pPr>
      <w:numPr>
        <w:ilvl w:val="6"/>
        <w:numId w:val="5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WBLevel6">
    <w:name w:val="BWBLevel6"/>
    <w:basedOn w:val="Normal"/>
    <w:rsid w:val="001261D4"/>
    <w:pPr>
      <w:tabs>
        <w:tab w:val="num" w:pos="720"/>
      </w:tabs>
      <w:spacing w:after="240" w:line="288" w:lineRule="auto"/>
      <w:ind w:left="720" w:hanging="720"/>
      <w:jc w:val="both"/>
      <w:outlineLvl w:val="5"/>
    </w:pPr>
    <w:rPr>
      <w:rFonts w:ascii="Arial" w:eastAsia="Calibri" w:hAnsi="Arial" w:cs="Arial"/>
      <w:sz w:val="20"/>
    </w:rPr>
  </w:style>
  <w:style w:type="character" w:customStyle="1" w:styleId="BWBLevel1Char">
    <w:name w:val="BWBLevel1 Char"/>
    <w:link w:val="BWBLevel1"/>
    <w:locked/>
    <w:rsid w:val="00B93EA7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WBLevel3Char">
    <w:name w:val="BWBLevel3 Char"/>
    <w:basedOn w:val="DefaultParagraphFont"/>
    <w:link w:val="BWBLevel3"/>
    <w:rsid w:val="00B93EA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WBCentreBold">
    <w:name w:val="BWBCentreBold"/>
    <w:basedOn w:val="Normal"/>
    <w:next w:val="Normal"/>
    <w:rsid w:val="00B93EA7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WBDefinitions">
    <w:name w:val="BWBDefinitions"/>
    <w:basedOn w:val="DefaultParagraphFont"/>
    <w:rsid w:val="00B7158C"/>
    <w:rPr>
      <w:rFonts w:ascii="Times New Roman" w:hAnsi="Times New Roman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2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cesterunion.com/pageassets/voice/democracy/constitution/Leciester-Students-Union-By-Laws-Interim-October-2024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fbca3-2baf-4286-aa3f-2be662bc430c" xsi:nil="true"/>
    <lcf76f155ced4ddcb4097134ff3c332f xmlns="b9603bcc-3c1a-48fd-88eb-70c3507cd8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A8BCB4EA2B41B89C92FB3E8A57CE" ma:contentTypeVersion="15" ma:contentTypeDescription="Create a new document." ma:contentTypeScope="" ma:versionID="8e32775369608cb8fcac65128fb91a88">
  <xsd:schema xmlns:xsd="http://www.w3.org/2001/XMLSchema" xmlns:xs="http://www.w3.org/2001/XMLSchema" xmlns:p="http://schemas.microsoft.com/office/2006/metadata/properties" xmlns:ns2="b9603bcc-3c1a-48fd-88eb-70c3507cd864" xmlns:ns3="04dfbca3-2baf-4286-aa3f-2be662bc430c" targetNamespace="http://schemas.microsoft.com/office/2006/metadata/properties" ma:root="true" ma:fieldsID="e5cacfedb7fb06e062cd22dd91a5160a" ns2:_="" ns3:_="">
    <xsd:import namespace="b9603bcc-3c1a-48fd-88eb-70c3507cd864"/>
    <xsd:import namespace="04dfbca3-2baf-4286-aa3f-2be662bc43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3bcc-3c1a-48fd-88eb-70c3507cd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bca3-2baf-4286-aa3f-2be662bc430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c45b6b-8bbc-4bc0-85e2-5052049e91ba}" ma:internalName="TaxCatchAll" ma:showField="CatchAllData" ma:web="04dfbca3-2baf-4286-aa3f-2be662bc4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2CA88-9A08-4A8F-AA01-C1FC0840F9C2}">
  <ds:schemaRefs>
    <ds:schemaRef ds:uri="http://schemas.microsoft.com/office/2006/metadata/properties"/>
    <ds:schemaRef ds:uri="http://schemas.microsoft.com/office/infopath/2007/PartnerControls"/>
    <ds:schemaRef ds:uri="04dfbca3-2baf-4286-aa3f-2be662bc430c"/>
    <ds:schemaRef ds:uri="b9603bcc-3c1a-48fd-88eb-70c3507cd864"/>
  </ds:schemaRefs>
</ds:datastoreItem>
</file>

<file path=customXml/itemProps2.xml><?xml version="1.0" encoding="utf-8"?>
<ds:datastoreItem xmlns:ds="http://schemas.openxmlformats.org/officeDocument/2006/customXml" ds:itemID="{7C20DF24-0173-48A2-B444-1353D39CA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B1AE2-4585-4F50-A3E6-FF416CED9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03bcc-3c1a-48fd-88eb-70c3507cd864"/>
    <ds:schemaRef ds:uri="04dfbca3-2baf-4286-aa3f-2be662bc4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740</Words>
  <Characters>4089</Characters>
  <Application>Microsoft Office Word</Application>
  <DocSecurity>0</DocSecurity>
  <Lines>95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Ian R.</dc:creator>
  <cp:keywords/>
  <dc:description/>
  <cp:lastModifiedBy>Bruce, Ian R.</cp:lastModifiedBy>
  <cp:revision>6</cp:revision>
  <cp:lastPrinted>2020-01-28T14:19:00Z</cp:lastPrinted>
  <dcterms:created xsi:type="dcterms:W3CDTF">2024-10-16T13:59:00Z</dcterms:created>
  <dcterms:modified xsi:type="dcterms:W3CDTF">2024-10-21T10:19:00Z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0x0101003784A8BCB4EA2B41B89C92FB3E8A57CE</vt:lpwstr>
  </property>
  <property fmtid="{D5CDD505-2E9C-101B-9397-08002B2CF9AE}" pid="3" name="GrammarlyDocumentId">
    <vt:lpwstr>61909ab933bceca059427d81e819ece58c9ea15fc824bc641e136bfceda53c6c</vt:lpwstr>
  </property>
</Properties>
</file>